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8" w:rsidRDefault="009C1EF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декабря 2020 г. N 61573</w:t>
      </w:r>
    </w:p>
    <w:p w:rsidR="009C1EF8" w:rsidRDefault="009C1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</w:pPr>
      <w:r>
        <w:t>ФЕДЕРАЛЬНАЯ СЛУЖБА ПО НАДЗОРУ В СФЕРЕ ЗАЩИТЫ</w:t>
      </w:r>
    </w:p>
    <w:p w:rsidR="009C1EF8" w:rsidRDefault="009C1EF8">
      <w:pPr>
        <w:pStyle w:val="ConsPlusTitle"/>
        <w:jc w:val="center"/>
      </w:pPr>
      <w:r>
        <w:t>ПРАВ ПОТРЕБИТЕЛЕЙ И БЛАГОПОЛУЧИЯ ЧЕЛОВЕКА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ГЛАВНЫЙ ГОСУДАРСТВЕННЫЙ САНИТАРНЫЙ ВРАЧ</w:t>
      </w:r>
    </w:p>
    <w:p w:rsidR="009C1EF8" w:rsidRDefault="009C1EF8">
      <w:pPr>
        <w:pStyle w:val="ConsPlusTitle"/>
        <w:jc w:val="center"/>
      </w:pPr>
      <w:r>
        <w:t>РОССИЙСКОЙ ФЕДЕРАЦИИ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ПОСТАНОВЛЕНИЕ</w:t>
      </w:r>
    </w:p>
    <w:p w:rsidR="009C1EF8" w:rsidRDefault="009C1EF8">
      <w:pPr>
        <w:pStyle w:val="ConsPlusTitle"/>
        <w:jc w:val="center"/>
      </w:pPr>
      <w:r>
        <w:t>от 28 сентября 2020 г. N 28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ОБ УТВЕРЖДЕНИИ САНИТАРНЫХ ПРАВИЛ СП 2.4.3648-20</w:t>
      </w:r>
    </w:p>
    <w:p w:rsidR="009C1EF8" w:rsidRDefault="009C1EF8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9C1EF8" w:rsidRDefault="009C1EF8">
      <w:pPr>
        <w:pStyle w:val="ConsPlusTitle"/>
        <w:jc w:val="center"/>
      </w:pPr>
      <w:r>
        <w:t>ВОСПИТАНИЯ И ОБУЧЕНИЯ, ОТДЫХА И ОЗДОРОВЛЕНИЯ ДЕТЕЙ</w:t>
      </w:r>
    </w:p>
    <w:p w:rsidR="009C1EF8" w:rsidRDefault="009C1EF8">
      <w:pPr>
        <w:pStyle w:val="ConsPlusTitle"/>
        <w:jc w:val="center"/>
      </w:pPr>
      <w:r>
        <w:t>И МОЛОДЕЖИ"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6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9C1EF8">
        <w:t>регистрационный</w:t>
      </w:r>
      <w:proofErr w:type="gramEnd"/>
      <w:r w:rsidR="009C1EF8">
        <w:t xml:space="preserve"> N 4046);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7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 w:rsidR="009C1EF8">
        <w:t>регистрационный</w:t>
      </w:r>
      <w:proofErr w:type="gramEnd"/>
      <w:r w:rsidR="009C1EF8">
        <w:t xml:space="preserve"> N 4204);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8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 w:rsidR="009C1EF8">
        <w:t>регистрационный</w:t>
      </w:r>
      <w:proofErr w:type="gramEnd"/>
      <w:r w:rsidR="009C1EF8">
        <w:t xml:space="preserve"> N 4499);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9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</w:t>
      </w:r>
      <w:r w:rsidR="009C1EF8">
        <w:lastRenderedPageBreak/>
        <w:t xml:space="preserve">СанПиН 2.2.2/2.4.1340-03" (зарегистрировано Минюстом России 10.06.2003, </w:t>
      </w:r>
      <w:proofErr w:type="gramStart"/>
      <w:r w:rsidR="009C1EF8">
        <w:t>регистрационный</w:t>
      </w:r>
      <w:proofErr w:type="gramEnd"/>
      <w:r w:rsidR="009C1EF8">
        <w:t xml:space="preserve"> N 4673);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0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</w:t>
      </w:r>
      <w:proofErr w:type="gramStart"/>
      <w:r w:rsidR="009C1EF8">
        <w:t>регистрационный</w:t>
      </w:r>
      <w:proofErr w:type="gramEnd"/>
      <w:r w:rsidR="009C1EF8">
        <w:t xml:space="preserve"> N 9615);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1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</w:t>
      </w:r>
      <w:proofErr w:type="gramStart"/>
      <w:r w:rsidR="009C1EF8">
        <w:t>регистрационный</w:t>
      </w:r>
      <w:proofErr w:type="gramEnd"/>
      <w:r w:rsidR="009C1EF8">
        <w:t xml:space="preserve"> N 9610);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2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</w:t>
      </w:r>
      <w:proofErr w:type="gramStart"/>
      <w:r w:rsidR="009C1EF8">
        <w:t>регистрационный</w:t>
      </w:r>
      <w:proofErr w:type="gramEnd"/>
      <w:r w:rsidR="009C1EF8">
        <w:t xml:space="preserve"> N 12085);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3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</w:t>
      </w:r>
      <w:proofErr w:type="gramStart"/>
      <w:r w:rsidR="009C1EF8">
        <w:t>регистрационный</w:t>
      </w:r>
      <w:proofErr w:type="gramEnd"/>
      <w:r w:rsidR="009C1EF8">
        <w:t xml:space="preserve"> N 15172);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4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</w:t>
      </w:r>
      <w:proofErr w:type="gramStart"/>
      <w:r w:rsidR="009C1EF8">
        <w:t>регистрационный</w:t>
      </w:r>
      <w:proofErr w:type="gramEnd"/>
      <w:r w:rsidR="009C1EF8">
        <w:t xml:space="preserve"> N 15197);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5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</w:t>
      </w:r>
      <w:proofErr w:type="gramStart"/>
      <w:r w:rsidR="009C1EF8">
        <w:t>регистрационный</w:t>
      </w:r>
      <w:proofErr w:type="gramEnd"/>
      <w:r w:rsidR="009C1EF8">
        <w:t xml:space="preserve"> N 17378);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6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</w:t>
      </w:r>
      <w:proofErr w:type="gramStart"/>
      <w:r w:rsidR="009C1EF8">
        <w:t>регистрационный</w:t>
      </w:r>
      <w:proofErr w:type="gramEnd"/>
      <w:r w:rsidR="009C1EF8">
        <w:t xml:space="preserve"> N 17481);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7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</w:t>
      </w:r>
      <w:proofErr w:type="gramStart"/>
      <w:r w:rsidR="009C1EF8">
        <w:t>регистрационный</w:t>
      </w:r>
      <w:proofErr w:type="gramEnd"/>
      <w:r w:rsidR="009C1EF8">
        <w:t xml:space="preserve"> N 17944);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8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9C1EF8">
        <w:t>регистрационный</w:t>
      </w:r>
      <w:proofErr w:type="gramEnd"/>
      <w:r w:rsidR="009C1EF8">
        <w:t xml:space="preserve"> N 18748);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19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9C1EF8">
        <w:t>регистрационный</w:t>
      </w:r>
      <w:proofErr w:type="gramEnd"/>
      <w:r w:rsidR="009C1EF8">
        <w:t xml:space="preserve"> N 19993);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0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9C1EF8">
        <w:t>регистрационный</w:t>
      </w:r>
      <w:proofErr w:type="gramEnd"/>
      <w:r w:rsidR="009C1EF8">
        <w:t xml:space="preserve"> N 20327);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1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="009C1EF8">
        <w:t>регистрационный</w:t>
      </w:r>
      <w:proofErr w:type="gramEnd"/>
      <w:r w:rsidR="009C1EF8">
        <w:t xml:space="preserve"> N 20277);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2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9C1EF8">
        <w:t>регистрационный</w:t>
      </w:r>
      <w:proofErr w:type="gramEnd"/>
      <w:r w:rsidR="009C1EF8">
        <w:t xml:space="preserve"> N 22637);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3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9C1EF8">
        <w:t>регистрационный</w:t>
      </w:r>
      <w:proofErr w:type="gramEnd"/>
      <w:r w:rsidR="009C1EF8">
        <w:t xml:space="preserve"> N 20279);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4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9C1EF8">
        <w:t>регистрационный</w:t>
      </w:r>
      <w:proofErr w:type="gramEnd"/>
      <w:r w:rsidR="009C1EF8">
        <w:t xml:space="preserve"> N 28563);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5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9C1EF8">
        <w:t>регистрационный</w:t>
      </w:r>
      <w:proofErr w:type="gramEnd"/>
      <w:r w:rsidR="009C1EF8">
        <w:t xml:space="preserve"> N 28564);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6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9C1EF8">
        <w:t>регистрационный</w:t>
      </w:r>
      <w:proofErr w:type="gramEnd"/>
      <w:r w:rsidR="009C1EF8">
        <w:t xml:space="preserve"> N 31209);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7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9C1EF8">
        <w:t>регистрационный</w:t>
      </w:r>
      <w:proofErr w:type="gramEnd"/>
      <w:r w:rsidR="009C1EF8">
        <w:t xml:space="preserve"> N 31751);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8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9C1EF8">
        <w:t>регистрационный</w:t>
      </w:r>
      <w:proofErr w:type="gramEnd"/>
      <w:r w:rsidR="009C1EF8">
        <w:t xml:space="preserve"> N 32024);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29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9C1EF8">
        <w:t>регистрационный</w:t>
      </w:r>
      <w:proofErr w:type="gramEnd"/>
      <w:r w:rsidR="009C1EF8">
        <w:t xml:space="preserve"> N 33660);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30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9C1EF8">
        <w:t>регистрационный</w:t>
      </w:r>
      <w:proofErr w:type="gramEnd"/>
      <w:r w:rsidR="009C1EF8">
        <w:t xml:space="preserve"> N 35144);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31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9C1EF8">
        <w:t>регистрационный</w:t>
      </w:r>
      <w:proofErr w:type="gramEnd"/>
      <w:r w:rsidR="009C1EF8">
        <w:t xml:space="preserve"> N 36571);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32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</w:t>
      </w:r>
      <w:r w:rsidR="009C1EF8">
        <w:lastRenderedPageBreak/>
        <w:t xml:space="preserve">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9C1EF8">
        <w:t>регистрационный</w:t>
      </w:r>
      <w:proofErr w:type="gramEnd"/>
      <w:r w:rsidR="009C1EF8">
        <w:t xml:space="preserve"> N 38312);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33" w:history="1">
        <w:proofErr w:type="gramStart"/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9C1EF8" w:rsidRDefault="005F6311">
      <w:pPr>
        <w:pStyle w:val="ConsPlusNormal"/>
        <w:spacing w:before="220"/>
        <w:ind w:firstLine="540"/>
        <w:jc w:val="both"/>
      </w:pPr>
      <w:hyperlink r:id="rId34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9C1EF8">
        <w:t>регистрационный</w:t>
      </w:r>
      <w:proofErr w:type="gramEnd"/>
      <w:r w:rsidR="009C1EF8">
        <w:t xml:space="preserve"> N 38824);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35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9C1EF8">
        <w:t>регистрационный</w:t>
      </w:r>
      <w:proofErr w:type="gramEnd"/>
      <w:r w:rsidR="009C1EF8">
        <w:t xml:space="preserve"> N 40154);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36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9C1EF8">
        <w:t>регистрационный</w:t>
      </w:r>
      <w:proofErr w:type="gramEnd"/>
      <w:r w:rsidR="009C1EF8">
        <w:t xml:space="preserve"> N 38591);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37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 w:rsidR="009C1EF8">
        <w:t>регистрационный</w:t>
      </w:r>
      <w:proofErr w:type="gramEnd"/>
      <w:r w:rsidR="009C1EF8">
        <w:t xml:space="preserve"> N 46337);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38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</w:t>
      </w:r>
      <w:proofErr w:type="gramStart"/>
      <w:r w:rsidR="009C1EF8">
        <w:t>регистрационный</w:t>
      </w:r>
      <w:proofErr w:type="gramEnd"/>
      <w:r w:rsidR="009C1EF8">
        <w:t xml:space="preserve"> N 54310);</w:t>
      </w:r>
    </w:p>
    <w:p w:rsidR="009C1EF8" w:rsidRDefault="005F6311">
      <w:pPr>
        <w:pStyle w:val="ConsPlusNormal"/>
        <w:spacing w:before="220"/>
        <w:ind w:firstLine="540"/>
        <w:jc w:val="both"/>
      </w:pPr>
      <w:hyperlink r:id="rId39" w:history="1">
        <w:r w:rsidR="009C1EF8">
          <w:rPr>
            <w:color w:val="0000FF"/>
          </w:rPr>
          <w:t>постановление</w:t>
        </w:r>
      </w:hyperlink>
      <w:r w:rsidR="009C1EF8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9C1EF8">
        <w:t>регистрационный</w:t>
      </w:r>
      <w:proofErr w:type="gramEnd"/>
      <w:r w:rsidR="009C1EF8">
        <w:t xml:space="preserve"> N 54764).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right"/>
      </w:pPr>
      <w:r>
        <w:t>А.Ю.ПОПОВА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right"/>
        <w:outlineLvl w:val="0"/>
      </w:pPr>
      <w:r>
        <w:t>Утверждены</w:t>
      </w:r>
    </w:p>
    <w:p w:rsidR="009C1EF8" w:rsidRDefault="009C1EF8">
      <w:pPr>
        <w:pStyle w:val="ConsPlusNormal"/>
        <w:jc w:val="right"/>
      </w:pPr>
      <w:r>
        <w:t>постановлением</w:t>
      </w:r>
    </w:p>
    <w:p w:rsidR="009C1EF8" w:rsidRDefault="009C1EF8">
      <w:pPr>
        <w:pStyle w:val="ConsPlusNormal"/>
        <w:jc w:val="right"/>
      </w:pPr>
      <w:r>
        <w:t>Главного государственного</w:t>
      </w:r>
    </w:p>
    <w:p w:rsidR="009C1EF8" w:rsidRDefault="009C1EF8">
      <w:pPr>
        <w:pStyle w:val="ConsPlusNormal"/>
        <w:jc w:val="right"/>
      </w:pPr>
      <w:r>
        <w:t>санитарного врача</w:t>
      </w:r>
    </w:p>
    <w:p w:rsidR="009C1EF8" w:rsidRDefault="009C1EF8">
      <w:pPr>
        <w:pStyle w:val="ConsPlusNormal"/>
        <w:jc w:val="right"/>
      </w:pPr>
      <w:r>
        <w:lastRenderedPageBreak/>
        <w:t>Российской Федерации</w:t>
      </w:r>
    </w:p>
    <w:p w:rsidR="009C1EF8" w:rsidRDefault="009C1EF8">
      <w:pPr>
        <w:pStyle w:val="ConsPlusNormal"/>
        <w:jc w:val="right"/>
      </w:pPr>
      <w:r>
        <w:t>от 28.09.2020 N 28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</w:pPr>
      <w:bookmarkStart w:id="1" w:name="P71"/>
      <w:bookmarkEnd w:id="1"/>
      <w:r>
        <w:t>САНИТАРНЫЕ ПРАВИЛА</w:t>
      </w:r>
    </w:p>
    <w:p w:rsidR="009C1EF8" w:rsidRDefault="009C1EF8">
      <w:pPr>
        <w:pStyle w:val="ConsPlusTitle"/>
        <w:jc w:val="center"/>
      </w:pPr>
      <w:r>
        <w:t>СП 2.4.3648-20</w:t>
      </w:r>
    </w:p>
    <w:p w:rsidR="009C1EF8" w:rsidRDefault="009C1EF8">
      <w:pPr>
        <w:pStyle w:val="ConsPlusTitle"/>
        <w:jc w:val="center"/>
      </w:pPr>
    </w:p>
    <w:p w:rsidR="009C1EF8" w:rsidRDefault="009C1EF8">
      <w:pPr>
        <w:pStyle w:val="ConsPlusTitle"/>
        <w:jc w:val="center"/>
      </w:pPr>
      <w:r>
        <w:t>"САНИТАРНО-ЭПИДЕМИОЛОГИЧЕСКИЕ ТРЕБОВАНИЯ</w:t>
      </w:r>
    </w:p>
    <w:p w:rsidR="009C1EF8" w:rsidRDefault="009C1EF8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9C1EF8" w:rsidRDefault="009C1EF8">
      <w:pPr>
        <w:pStyle w:val="ConsPlusTitle"/>
        <w:jc w:val="center"/>
      </w:pPr>
      <w:r>
        <w:t>ДЕТЕЙ И МОЛОДЕЖИ"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  <w:outlineLvl w:val="1"/>
      </w:pPr>
      <w:r>
        <w:t>1. Область применения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bookmarkStart w:id="2" w:name="P80"/>
      <w:bookmarkEnd w:id="2"/>
      <w:r>
        <w:t xml:space="preserve">1.1. </w:t>
      </w:r>
      <w:proofErr w:type="gramStart"/>
      <w: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9C1EF8" w:rsidRDefault="005F6311">
      <w:pPr>
        <w:pStyle w:val="ConsPlusNormal"/>
        <w:spacing w:before="220"/>
        <w:ind w:firstLine="540"/>
        <w:jc w:val="both"/>
      </w:pPr>
      <w:hyperlink w:anchor="P382" w:history="1">
        <w:proofErr w:type="gramStart"/>
        <w:r w:rsidR="009C1EF8">
          <w:rPr>
            <w:color w:val="0000FF"/>
          </w:rPr>
          <w:t>пунктами 3.1.1 (абзац первый)</w:t>
        </w:r>
      </w:hyperlink>
      <w:r w:rsidR="009C1EF8">
        <w:t>, 3.1.2 (</w:t>
      </w:r>
      <w:hyperlink w:anchor="P408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411" w:history="1">
        <w:r w:rsidR="009C1EF8">
          <w:rPr>
            <w:color w:val="0000FF"/>
          </w:rPr>
          <w:t>четвертый</w:t>
        </w:r>
      </w:hyperlink>
      <w:r w:rsidR="009C1EF8">
        <w:t>), 3.1.3 (</w:t>
      </w:r>
      <w:hyperlink w:anchor="P413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419" w:history="1">
        <w:r w:rsidR="009C1EF8">
          <w:rPr>
            <w:color w:val="0000FF"/>
          </w:rPr>
          <w:t>седьмой</w:t>
        </w:r>
      </w:hyperlink>
      <w:r w:rsidR="009C1EF8">
        <w:t xml:space="preserve">, </w:t>
      </w:r>
      <w:hyperlink w:anchor="P421" w:history="1">
        <w:r w:rsidR="009C1EF8">
          <w:rPr>
            <w:color w:val="0000FF"/>
          </w:rPr>
          <w:t>девятый</w:t>
        </w:r>
      </w:hyperlink>
      <w:r w:rsidR="009C1EF8">
        <w:t xml:space="preserve">, </w:t>
      </w:r>
      <w:hyperlink w:anchor="P422" w:history="1">
        <w:r w:rsidR="009C1EF8">
          <w:rPr>
            <w:color w:val="0000FF"/>
          </w:rPr>
          <w:t>десятый</w:t>
        </w:r>
      </w:hyperlink>
      <w:r w:rsidR="009C1EF8">
        <w:t>), 3.1.7 (</w:t>
      </w:r>
      <w:hyperlink w:anchor="P430" w:history="1">
        <w:r w:rsidR="009C1EF8">
          <w:rPr>
            <w:color w:val="0000FF"/>
          </w:rPr>
          <w:t>абзацы первый</w:t>
        </w:r>
      </w:hyperlink>
      <w:r w:rsidR="009C1EF8">
        <w:t xml:space="preserve">, </w:t>
      </w:r>
      <w:hyperlink w:anchor="P431" w:history="1">
        <w:r w:rsidR="009C1EF8">
          <w:rPr>
            <w:color w:val="0000FF"/>
          </w:rPr>
          <w:t>второй</w:t>
        </w:r>
      </w:hyperlink>
      <w:r w:rsidR="009C1EF8">
        <w:t xml:space="preserve">, </w:t>
      </w:r>
      <w:hyperlink w:anchor="P433" w:history="1">
        <w:r w:rsidR="009C1EF8">
          <w:rPr>
            <w:color w:val="0000FF"/>
          </w:rPr>
          <w:t>четвертый</w:t>
        </w:r>
      </w:hyperlink>
      <w:r w:rsidR="009C1EF8">
        <w:t xml:space="preserve">, </w:t>
      </w:r>
      <w:hyperlink w:anchor="P435" w:history="1">
        <w:r w:rsidR="009C1EF8">
          <w:rPr>
            <w:color w:val="0000FF"/>
          </w:rPr>
          <w:t>шестой</w:t>
        </w:r>
      </w:hyperlink>
      <w:r w:rsidR="009C1EF8">
        <w:t>), 3.1.11 (</w:t>
      </w:r>
      <w:hyperlink w:anchor="P440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443" w:history="1">
        <w:r w:rsidR="009C1EF8">
          <w:rPr>
            <w:color w:val="0000FF"/>
          </w:rPr>
          <w:t>четвертый</w:t>
        </w:r>
      </w:hyperlink>
      <w:r w:rsidR="009C1EF8">
        <w:t xml:space="preserve">, </w:t>
      </w:r>
      <w:hyperlink w:anchor="P445" w:history="1">
        <w:r w:rsidR="009C1EF8">
          <w:rPr>
            <w:color w:val="0000FF"/>
          </w:rPr>
          <w:t>шестой</w:t>
        </w:r>
      </w:hyperlink>
      <w:r w:rsidR="009C1EF8">
        <w:t xml:space="preserve"> - </w:t>
      </w:r>
      <w:hyperlink w:anchor="P447" w:history="1">
        <w:r w:rsidR="009C1EF8">
          <w:rPr>
            <w:color w:val="0000FF"/>
          </w:rPr>
          <w:t>восьмой</w:t>
        </w:r>
      </w:hyperlink>
      <w:r w:rsidR="009C1EF8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</w:t>
      </w:r>
      <w:r>
        <w:lastRenderedPageBreak/>
        <w:t>нежилых помещениях,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9C1EF8" w:rsidRDefault="005F6311">
      <w:pPr>
        <w:pStyle w:val="ConsPlusNormal"/>
        <w:spacing w:before="220"/>
        <w:ind w:firstLine="540"/>
        <w:jc w:val="both"/>
      </w:pPr>
      <w:hyperlink w:anchor="P475" w:history="1">
        <w:r w:rsidR="009C1EF8">
          <w:rPr>
            <w:color w:val="0000FF"/>
          </w:rPr>
          <w:t>пунктами 3.4.1 (абзац первый)</w:t>
        </w:r>
      </w:hyperlink>
      <w:r w:rsidR="009C1EF8">
        <w:t xml:space="preserve">, </w:t>
      </w:r>
      <w:hyperlink w:anchor="P478" w:history="1">
        <w:r w:rsidR="009C1EF8">
          <w:rPr>
            <w:color w:val="0000FF"/>
          </w:rPr>
          <w:t>3.4.2</w:t>
        </w:r>
      </w:hyperlink>
      <w:r w:rsidR="009C1EF8">
        <w:t>, 3.4.3 (</w:t>
      </w:r>
      <w:hyperlink w:anchor="P479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481" w:history="1">
        <w:r w:rsidR="009C1EF8">
          <w:rPr>
            <w:color w:val="0000FF"/>
          </w:rPr>
          <w:t>третий</w:t>
        </w:r>
      </w:hyperlink>
      <w:r w:rsidR="009C1EF8">
        <w:t xml:space="preserve">), </w:t>
      </w:r>
      <w:hyperlink w:anchor="P482" w:history="1">
        <w:r w:rsidR="009C1EF8">
          <w:rPr>
            <w:color w:val="0000FF"/>
          </w:rPr>
          <w:t>3.4.4</w:t>
        </w:r>
      </w:hyperlink>
      <w:r w:rsidR="009C1EF8">
        <w:t xml:space="preserve">, </w:t>
      </w:r>
      <w:hyperlink w:anchor="P483" w:history="1">
        <w:r w:rsidR="009C1EF8">
          <w:rPr>
            <w:color w:val="0000FF"/>
          </w:rPr>
          <w:t>3.4.5</w:t>
        </w:r>
      </w:hyperlink>
      <w:r w:rsidR="009C1EF8">
        <w:t xml:space="preserve">, </w:t>
      </w:r>
      <w:hyperlink w:anchor="P489" w:history="1">
        <w:r w:rsidR="009C1EF8">
          <w:rPr>
            <w:color w:val="0000FF"/>
          </w:rPr>
          <w:t>3.4.9</w:t>
        </w:r>
      </w:hyperlink>
      <w:r w:rsidR="009C1EF8">
        <w:t xml:space="preserve"> - </w:t>
      </w:r>
      <w:hyperlink w:anchor="P496" w:history="1">
        <w:r w:rsidR="009C1EF8">
          <w:rPr>
            <w:color w:val="0000FF"/>
          </w:rPr>
          <w:t>3.4.13</w:t>
        </w:r>
      </w:hyperlink>
      <w:r w:rsidR="009C1EF8">
        <w:t>, 3.4.14 (</w:t>
      </w:r>
      <w:hyperlink w:anchor="P497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500" w:history="1">
        <w:r w:rsidR="009C1EF8">
          <w:rPr>
            <w:color w:val="0000FF"/>
          </w:rPr>
          <w:t>четвертый</w:t>
        </w:r>
      </w:hyperlink>
      <w:r w:rsidR="009C1EF8">
        <w:t xml:space="preserve">, </w:t>
      </w:r>
      <w:hyperlink w:anchor="P502" w:history="1">
        <w:r w:rsidR="009C1EF8">
          <w:rPr>
            <w:color w:val="0000FF"/>
          </w:rPr>
          <w:t>шестой</w:t>
        </w:r>
      </w:hyperlink>
      <w:r w:rsidR="009C1EF8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9C1EF8" w:rsidRDefault="005F6311">
      <w:pPr>
        <w:pStyle w:val="ConsPlusNormal"/>
        <w:spacing w:before="220"/>
        <w:ind w:firstLine="540"/>
        <w:jc w:val="both"/>
      </w:pPr>
      <w:hyperlink w:anchor="P570" w:history="1">
        <w:r w:rsidR="009C1EF8">
          <w:rPr>
            <w:color w:val="0000FF"/>
          </w:rPr>
          <w:t>пунктами 3.6.1</w:t>
        </w:r>
      </w:hyperlink>
      <w:r w:rsidR="009C1EF8">
        <w:t>, 3.6.3 (</w:t>
      </w:r>
      <w:hyperlink w:anchor="P580" w:history="1">
        <w:r w:rsidR="009C1EF8">
          <w:rPr>
            <w:color w:val="0000FF"/>
          </w:rPr>
          <w:t>абзацы первый</w:t>
        </w:r>
      </w:hyperlink>
      <w:r w:rsidR="009C1EF8">
        <w:t xml:space="preserve"> - </w:t>
      </w:r>
      <w:hyperlink w:anchor="P583" w:history="1">
        <w:r w:rsidR="009C1EF8">
          <w:rPr>
            <w:color w:val="0000FF"/>
          </w:rPr>
          <w:t>четвертый</w:t>
        </w:r>
      </w:hyperlink>
      <w:r w:rsidR="009C1EF8">
        <w:t>) - в отношении организаций дополнительного образования и физкультурно-спортивных организаций,</w:t>
      </w:r>
    </w:p>
    <w:p w:rsidR="009C1EF8" w:rsidRDefault="005F6311">
      <w:pPr>
        <w:pStyle w:val="ConsPlusNormal"/>
        <w:spacing w:before="220"/>
        <w:ind w:firstLine="540"/>
        <w:jc w:val="both"/>
      </w:pPr>
      <w:hyperlink w:anchor="P589" w:history="1">
        <w:r w:rsidR="009C1EF8">
          <w:rPr>
            <w:color w:val="0000FF"/>
          </w:rPr>
          <w:t>пунктами 3.7.2</w:t>
        </w:r>
      </w:hyperlink>
      <w:r w:rsidR="009C1EF8">
        <w:t xml:space="preserve">, </w:t>
      </w:r>
      <w:hyperlink w:anchor="P594" w:history="1">
        <w:r w:rsidR="009C1EF8">
          <w:rPr>
            <w:color w:val="0000FF"/>
          </w:rPr>
          <w:t>3.7.4</w:t>
        </w:r>
      </w:hyperlink>
      <w:r w:rsidR="009C1EF8">
        <w:t xml:space="preserve">, </w:t>
      </w:r>
      <w:hyperlink w:anchor="P595" w:history="1">
        <w:r w:rsidR="009C1EF8">
          <w:rPr>
            <w:color w:val="0000FF"/>
          </w:rPr>
          <w:t>3.7.5</w:t>
        </w:r>
      </w:hyperlink>
      <w:r w:rsidR="009C1EF8">
        <w:t xml:space="preserve"> - в отношении организаций для детей-сирот и детей, оставшихся без попечения родителей;</w:t>
      </w:r>
    </w:p>
    <w:p w:rsidR="009C1EF8" w:rsidRDefault="005F6311">
      <w:pPr>
        <w:pStyle w:val="ConsPlusNormal"/>
        <w:spacing w:before="220"/>
        <w:ind w:firstLine="540"/>
        <w:jc w:val="both"/>
      </w:pPr>
      <w:hyperlink w:anchor="P597" w:history="1">
        <w:r w:rsidR="009C1EF8">
          <w:rPr>
            <w:color w:val="0000FF"/>
          </w:rPr>
          <w:t>пунктами 3.8.1</w:t>
        </w:r>
      </w:hyperlink>
      <w:r w:rsidR="009C1EF8">
        <w:t xml:space="preserve"> - 3.8.4 - в отношении организаций социального обслуживания семьи и детей,</w:t>
      </w:r>
    </w:p>
    <w:p w:rsidR="009C1EF8" w:rsidRDefault="005F6311">
      <w:pPr>
        <w:pStyle w:val="ConsPlusNormal"/>
        <w:spacing w:before="220"/>
        <w:ind w:firstLine="540"/>
        <w:jc w:val="both"/>
      </w:pPr>
      <w:hyperlink w:anchor="P610" w:history="1">
        <w:r w:rsidR="009C1EF8">
          <w:rPr>
            <w:color w:val="0000FF"/>
          </w:rPr>
          <w:t>пунктами 3.9.1</w:t>
        </w:r>
      </w:hyperlink>
      <w:r w:rsidR="009C1EF8">
        <w:t>, 3.9.2 (</w:t>
      </w:r>
      <w:hyperlink w:anchor="P612" w:history="1">
        <w:r w:rsidR="009C1EF8">
          <w:rPr>
            <w:color w:val="0000FF"/>
          </w:rPr>
          <w:t>абзацы первый</w:t>
        </w:r>
      </w:hyperlink>
      <w:r w:rsidR="009C1EF8">
        <w:t xml:space="preserve"> и </w:t>
      </w:r>
      <w:hyperlink w:anchor="P613" w:history="1">
        <w:r w:rsidR="009C1EF8">
          <w:rPr>
            <w:color w:val="0000FF"/>
          </w:rPr>
          <w:t>второй</w:t>
        </w:r>
      </w:hyperlink>
      <w:r w:rsidR="009C1EF8">
        <w:t>), 3.9.3 (</w:t>
      </w:r>
      <w:hyperlink w:anchor="P615" w:history="1">
        <w:r w:rsidR="009C1EF8">
          <w:rPr>
            <w:color w:val="0000FF"/>
          </w:rPr>
          <w:t>абзацы первый</w:t>
        </w:r>
      </w:hyperlink>
      <w:r w:rsidR="009C1EF8">
        <w:t xml:space="preserve">, </w:t>
      </w:r>
      <w:hyperlink w:anchor="P616" w:history="1">
        <w:r w:rsidR="009C1EF8">
          <w:rPr>
            <w:color w:val="0000FF"/>
          </w:rPr>
          <w:t>второй</w:t>
        </w:r>
      </w:hyperlink>
      <w:r w:rsidR="009C1EF8">
        <w:t xml:space="preserve">, </w:t>
      </w:r>
      <w:hyperlink w:anchor="P618" w:history="1">
        <w:r w:rsidR="009C1EF8">
          <w:rPr>
            <w:color w:val="0000FF"/>
          </w:rPr>
          <w:t>четвертый</w:t>
        </w:r>
      </w:hyperlink>
      <w:r w:rsidR="009C1EF8">
        <w:t xml:space="preserve">, </w:t>
      </w:r>
      <w:hyperlink w:anchor="P620" w:history="1">
        <w:r w:rsidR="009C1EF8">
          <w:rPr>
            <w:color w:val="0000FF"/>
          </w:rPr>
          <w:t>шестой</w:t>
        </w:r>
      </w:hyperlink>
      <w:r w:rsidR="009C1EF8">
        <w:t xml:space="preserve">), </w:t>
      </w:r>
      <w:hyperlink w:anchor="P622" w:history="1">
        <w:r w:rsidR="009C1EF8">
          <w:rPr>
            <w:color w:val="0000FF"/>
          </w:rPr>
          <w:t>3.9.4</w:t>
        </w:r>
      </w:hyperlink>
      <w:r w:rsidR="009C1EF8">
        <w:t xml:space="preserve"> - в отношении профессиональных образовательных организаций,</w:t>
      </w:r>
    </w:p>
    <w:p w:rsidR="009C1EF8" w:rsidRDefault="005F6311">
      <w:pPr>
        <w:pStyle w:val="ConsPlusNormal"/>
        <w:spacing w:before="220"/>
        <w:ind w:firstLine="540"/>
        <w:jc w:val="both"/>
      </w:pPr>
      <w:hyperlink w:anchor="P630" w:history="1">
        <w:r w:rsidR="009C1EF8">
          <w:rPr>
            <w:color w:val="0000FF"/>
          </w:rPr>
          <w:t>пунктами 3.10.1</w:t>
        </w:r>
      </w:hyperlink>
      <w:r w:rsidR="009C1EF8">
        <w:t xml:space="preserve">, </w:t>
      </w:r>
      <w:hyperlink w:anchor="P632" w:history="1">
        <w:r w:rsidR="009C1EF8">
          <w:rPr>
            <w:color w:val="0000FF"/>
          </w:rPr>
          <w:t>3.10.2</w:t>
        </w:r>
      </w:hyperlink>
      <w:r w:rsidR="009C1EF8">
        <w:t xml:space="preserve"> - в отношении образовательных организаций высшего образования,</w:t>
      </w:r>
    </w:p>
    <w:p w:rsidR="009C1EF8" w:rsidRDefault="005F6311">
      <w:pPr>
        <w:pStyle w:val="ConsPlusNormal"/>
        <w:spacing w:before="220"/>
        <w:ind w:firstLine="540"/>
        <w:jc w:val="both"/>
      </w:pPr>
      <w:hyperlink w:anchor="P645" w:history="1">
        <w:r w:rsidR="009C1EF8">
          <w:rPr>
            <w:color w:val="0000FF"/>
          </w:rPr>
          <w:t>пунктами 3.11.3 (абзац первый)</w:t>
        </w:r>
      </w:hyperlink>
      <w:r w:rsidR="009C1EF8">
        <w:t xml:space="preserve">, </w:t>
      </w:r>
      <w:hyperlink w:anchor="P648" w:history="1">
        <w:r w:rsidR="009C1EF8">
          <w:rPr>
            <w:color w:val="0000FF"/>
          </w:rPr>
          <w:t>3.11.4</w:t>
        </w:r>
      </w:hyperlink>
      <w:r w:rsidR="009C1EF8">
        <w:t xml:space="preserve">, </w:t>
      </w:r>
      <w:hyperlink w:anchor="P652" w:history="1">
        <w:r w:rsidR="009C1EF8">
          <w:rPr>
            <w:color w:val="0000FF"/>
          </w:rPr>
          <w:t>3.11.5</w:t>
        </w:r>
      </w:hyperlink>
      <w:r w:rsidR="009C1EF8">
        <w:t xml:space="preserve">, </w:t>
      </w:r>
      <w:hyperlink w:anchor="P655" w:history="1">
        <w:r w:rsidR="009C1EF8">
          <w:rPr>
            <w:color w:val="0000FF"/>
          </w:rPr>
          <w:t>3.11.6</w:t>
        </w:r>
      </w:hyperlink>
      <w:r w:rsidR="009C1EF8">
        <w:t xml:space="preserve"> - в отношении загородных стационарных детских оздоровительных лагерей с круглосуточным пребыванием,</w:t>
      </w:r>
    </w:p>
    <w:p w:rsidR="009C1EF8" w:rsidRDefault="005F6311">
      <w:pPr>
        <w:pStyle w:val="ConsPlusNormal"/>
        <w:spacing w:before="220"/>
        <w:ind w:firstLine="540"/>
        <w:jc w:val="both"/>
      </w:pPr>
      <w:hyperlink w:anchor="P720" w:history="1">
        <w:r w:rsidR="009C1EF8">
          <w:rPr>
            <w:color w:val="0000FF"/>
          </w:rPr>
          <w:t>пунктом 3.15</w:t>
        </w:r>
      </w:hyperlink>
      <w:r w:rsidR="009C1EF8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40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</w:t>
      </w:r>
      <w:r>
        <w:lastRenderedPageBreak/>
        <w:t>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&lt;2&gt;</w:t>
      </w:r>
      <w:proofErr w:type="spellStart"/>
      <w:r w:rsidR="005F6311">
        <w:fldChar w:fldCharType="begin"/>
      </w:r>
      <w:r w:rsidR="005F6311">
        <w:instrText>HYPERLINK "consultantplus://offline/ref=485DD270ECA0031985B7BC628BD05FBD5F1C7F7B50042A75FE36C03EA140E5F6FAA424C7C096DF024D2AF7527Fu6d3N"</w:instrText>
      </w:r>
      <w:r w:rsidR="005F6311">
        <w:fldChar w:fldCharType="separate"/>
      </w:r>
      <w:r>
        <w:rPr>
          <w:color w:val="0000FF"/>
        </w:rPr>
        <w:t>Приказ</w:t>
      </w:r>
      <w:r w:rsidR="005F6311">
        <w:fldChar w:fldCharType="end"/>
      </w:r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N22111</w:t>
      </w:r>
      <w:proofErr w:type="gramEnd"/>
      <w:r>
        <w:t>) (</w:t>
      </w:r>
      <w:proofErr w:type="gramStart"/>
      <w:r>
        <w:t>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МинюстомРоссии 02.03.2018</w:t>
      </w:r>
      <w:proofErr w:type="gramEnd"/>
      <w:r>
        <w:t xml:space="preserve">, </w:t>
      </w:r>
      <w:proofErr w:type="gramStart"/>
      <w:r>
        <w:t>регистрационный</w:t>
      </w:r>
      <w:proofErr w:type="gramEnd"/>
      <w:r>
        <w:t xml:space="preserve">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&lt;3&gt;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регистрационныйN</w:t>
      </w:r>
      <w:proofErr w:type="gramEnd"/>
      <w:r>
        <w:t xml:space="preserve"> 46745), от 19.02.2019 N 69н (</w:t>
      </w:r>
      <w:proofErr w:type="gramStart"/>
      <w:r>
        <w:t>зарегистрирован</w:t>
      </w:r>
      <w:proofErr w:type="gramEnd"/>
      <w:r>
        <w:t xml:space="preserve"> Минюстом России 19.03.2019, регистрационный N 54089), от 24.04.2019 N 243н (зарегистрирован Минюстом России 15.07.2019, регистрационный N 55249);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&lt;4&gt;</w:t>
      </w:r>
      <w:hyperlink r:id="rId42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9C1EF8" w:rsidRDefault="009C1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1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EF8" w:rsidRDefault="009C1E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1EF8" w:rsidRDefault="009C1EF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C1EF8" w:rsidRDefault="009C1EF8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  <w:outlineLvl w:val="1"/>
      </w:pPr>
      <w:r>
        <w:t>II. Общие требования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 xml:space="preserve">2.3.1. Планировка зданий, строений, сооружений должна обеспечивать соблюдение </w:t>
      </w:r>
      <w:r>
        <w:lastRenderedPageBreak/>
        <w:t>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&lt;5&gt;</w:t>
      </w:r>
      <w:hyperlink r:id="rId43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bookmarkStart w:id="19" w:name="P158"/>
      <w:bookmarkEnd w:id="19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&lt;6&gt;</w:t>
      </w:r>
      <w:hyperlink r:id="rId44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lastRenderedPageBreak/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5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 xml:space="preserve">&lt;7&gt; Утверждены </w:t>
      </w:r>
      <w:hyperlink r:id="rId47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7" w:name="P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29" w:name="P192"/>
      <w:bookmarkEnd w:id="29"/>
      <w:r>
        <w:t xml:space="preserve">В составе комплекса помещений </w:t>
      </w:r>
      <w:proofErr w:type="gramStart"/>
      <w:r>
        <w:t>буфетов-раздаточных</w:t>
      </w:r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1" w:name="P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</w:t>
      </w:r>
      <w:r>
        <w:lastRenderedPageBreak/>
        <w:t>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3" w:name="P207"/>
      <w:bookmarkEnd w:id="33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4" w:name="P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8" w:name="P216"/>
      <w:bookmarkEnd w:id="38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Площадь туалетов для детей до 3 лет должна составлять не менее 12 м</w:t>
      </w:r>
      <w:proofErr w:type="gramStart"/>
      <w:r>
        <w:rPr>
          <w:vertAlign w:val="superscript"/>
        </w:rPr>
        <w:t>2</w:t>
      </w:r>
      <w:proofErr w:type="gramEnd"/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>
        <w:t>о-</w:t>
      </w:r>
      <w:proofErr w:type="gramEnd"/>
      <w:r>
        <w:t xml:space="preserve"> или бумажными полотенцами, ведрами для сбора мусора.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&lt;8&gt;</w:t>
      </w:r>
      <w:hyperlink r:id="rId48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</w:t>
      </w:r>
      <w:r>
        <w:lastRenderedPageBreak/>
        <w:t>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49" w:name="P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0" w:name="P257"/>
      <w:bookmarkEnd w:id="50"/>
      <w:r>
        <w:t xml:space="preserve">2.7.2. Конструкция окон должна обеспечивать возможность проведения проветривания </w:t>
      </w:r>
      <w:r>
        <w:lastRenderedPageBreak/>
        <w:t>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2" w:name="P261"/>
      <w:bookmarkEnd w:id="52"/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3" w:name="P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4" w:name="P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помещений для спортивных снарядов (далее - </w:t>
      </w:r>
      <w:proofErr w:type="gramStart"/>
      <w:r>
        <w:t>снарядные</w:t>
      </w:r>
      <w:proofErr w:type="gramEnd"/>
      <w:r>
        <w:t>),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кинозалов,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книгохранилищ,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камер вентиляционных,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Чистка оконных стекол проводится по мере их загрязнения.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6" w:name="P285"/>
      <w:bookmarkEnd w:id="56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spellStart"/>
      <w:r>
        <w:t>разнымсветооизлучением</w:t>
      </w:r>
      <w:proofErr w:type="spellEnd"/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58" w:name="P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&lt;9&gt;</w:t>
      </w:r>
      <w:hyperlink r:id="rId49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2.9.5. </w:t>
      </w:r>
      <w:proofErr w:type="gramStart"/>
      <w: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 &lt;10&gt;;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&lt;10&gt;</w:t>
      </w:r>
      <w:hyperlink r:id="rId50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</w:t>
      </w:r>
      <w:r>
        <w:lastRenderedPageBreak/>
        <w:t>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культуройи</w:t>
      </w:r>
      <w:proofErr w:type="gramEnd"/>
      <w:r>
        <w:t xml:space="preserve"> </w:t>
      </w:r>
      <w:proofErr w:type="gramStart"/>
      <w:r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2.10. В отношении организации образовательного процесса и режима дня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</w:t>
      </w:r>
      <w:r>
        <w:lastRenderedPageBreak/>
        <w:t>выполнению ремонтно-строительных и отделочных работ, подъему и переносу тяжестей.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 xml:space="preserve">) перед использованием детьми </w:t>
      </w:r>
      <w:r>
        <w:lastRenderedPageBreak/>
        <w:t>моются проточной водой с мылом или иным моющим средством, безвредным для здоровья детей.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Title"/>
        <w:jc w:val="center"/>
        <w:outlineLvl w:val="1"/>
      </w:pPr>
      <w:bookmarkStart w:id="59" w:name="P378"/>
      <w:bookmarkEnd w:id="59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9C1EF8" w:rsidRDefault="009C1EF8">
      <w:pPr>
        <w:pStyle w:val="ConsPlusTitle"/>
        <w:jc w:val="center"/>
      </w:pPr>
      <w:r>
        <w:t>хозяйствующими субъектами деятельности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1" w:name="P382"/>
      <w:bookmarkEnd w:id="61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для глухих детей - 6 детей для обеих возрастных групп,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2" w:name="P408"/>
      <w:bookmarkEnd w:id="62"/>
      <w:r>
        <w:lastRenderedPageBreak/>
        <w:t>3.1.2. Дошкольные организации должны иметь собственную территорию для прогулок детей (отдельно для каждой группы).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3" w:name="P411"/>
      <w:bookmarkEnd w:id="63"/>
      <w:r>
        <w:t>Допускается установка на прогулочной площадке сборно-разборных навесов, беседок.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4" w:name="P413"/>
      <w:bookmarkEnd w:id="64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lastRenderedPageBreak/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7" w:name="P422"/>
      <w:bookmarkEnd w:id="67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</w:t>
      </w:r>
      <w:proofErr w:type="gramStart"/>
      <w:r>
        <w:t>;и</w:t>
      </w:r>
      <w:proofErr w:type="gramEnd"/>
      <w:r>
        <w:t>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</w:t>
      </w:r>
      <w:proofErr w:type="gramStart"/>
      <w:r>
        <w:t>;м</w:t>
      </w:r>
      <w:proofErr w:type="gramEnd"/>
      <w:r>
        <w:t xml:space="preserve">есто (в помещении кухни или игровой комнаты) для организации питьевого режима; </w:t>
      </w:r>
      <w:proofErr w:type="gramStart"/>
      <w:r>
        <w:t>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t>3.3.3. В игровых комнатах предусматривается естественное и (или) искусственное освещение.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lastRenderedPageBreak/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</w:t>
      </w:r>
      <w:r>
        <w:lastRenderedPageBreak/>
        <w:t>расчета не более 3 обучающихся при получении образования совместно с другими учащимися.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&lt;11&gt;</w:t>
      </w:r>
      <w:hyperlink r:id="rId51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2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7598;2019, N 49, ст. 6962).</w:t>
      </w:r>
      <w:proofErr w:type="gramEnd"/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для обучающихся 2 - 4 классов - не более 5 уроков и один раз в неделю 6 уроков за счет урока физической культуры,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3.5.8. Шрифтовое оформление электронных учебных изданий должно соответствовать </w:t>
      </w:r>
      <w:r>
        <w:lastRenderedPageBreak/>
        <w:t>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Помещения воспитательной группы, в которых проживают дети-инвалиды, обустраиваются с </w:t>
      </w:r>
      <w:r>
        <w:lastRenderedPageBreak/>
        <w:t>учетом условий для размещения используемых ими технических средств реабилитации.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lastRenderedPageBreak/>
        <w:t>3.9. В профессиональных образовательных организациях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t xml:space="preserve"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</w:t>
      </w:r>
      <w:r>
        <w:lastRenderedPageBreak/>
        <w:t>механическую вентиляцию.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&lt;12&gt;</w:t>
      </w:r>
      <w:hyperlink r:id="rId53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 xml:space="preserve">) обработку территории и мероприятия по борьбе с грызунами. После проведения обработок должен быть осуществлен </w:t>
      </w:r>
      <w:r>
        <w:lastRenderedPageBreak/>
        <w:t>контроль качества проведенных обработок против клещей и грызунов.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&lt;13&gt;</w:t>
      </w:r>
      <w:hyperlink r:id="rId54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19" w:name="P648"/>
      <w:bookmarkEnd w:id="119"/>
      <w:r>
        <w:t xml:space="preserve">3.11.4. </w:t>
      </w:r>
      <w:proofErr w:type="gramStart"/>
      <w: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</w:t>
      </w:r>
      <w:proofErr w:type="gramEnd"/>
      <w:r>
        <w:t xml:space="preserve"> помещение (место) для просушивания одежды и обуви, помещение (место) стирки и глажения</w:t>
      </w:r>
      <w:proofErr w:type="gramStart"/>
      <w:r>
        <w:t>;п</w:t>
      </w:r>
      <w:proofErr w:type="gramEnd"/>
      <w:r>
        <w:t>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>
        <w:t>количества</w:t>
      </w:r>
      <w:proofErr w:type="gramEnd"/>
      <w:r>
        <w:t xml:space="preserve"> проживающих в комнате.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В зданиях для проживания детей обеспечиваются условия для просушивания верхней </w:t>
      </w:r>
      <w:r>
        <w:lastRenderedPageBreak/>
        <w:t>одежды и обуви.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0" w:name="P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9C1EF8" w:rsidRDefault="009C1EF8">
      <w:pPr>
        <w:pStyle w:val="ConsPlusNormal"/>
        <w:spacing w:before="22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9C1EF8" w:rsidRDefault="009C1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&lt;14&gt;</w:t>
      </w:r>
      <w:hyperlink r:id="rId55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для дезинфекции воздушной </w:t>
      </w:r>
      <w:r>
        <w:lastRenderedPageBreak/>
        <w:t>среды оборудуются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3.13.10. Для просушивания одежды и обуви на территории палаточного лагеря оборудуется специальное место.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9C1EF8" w:rsidRDefault="009C1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1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1EF8" w:rsidRDefault="009C1E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1EF8" w:rsidRDefault="009C1EF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C1EF8" w:rsidRDefault="009C1EF8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lastRenderedPageBreak/>
        <w:t>4.3. При нахождении в пути свыше 1 дня организуется горячее питание.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9C1EF8" w:rsidRDefault="009C1EF8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jc w:val="both"/>
      </w:pPr>
    </w:p>
    <w:p w:rsidR="009C1EF8" w:rsidRDefault="009C1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EE9" w:rsidRDefault="00320EE9"/>
    <w:sectPr w:rsidR="00320EE9" w:rsidSect="0037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1EF8"/>
    <w:rsid w:val="00320EE9"/>
    <w:rsid w:val="005D0052"/>
    <w:rsid w:val="005F6311"/>
    <w:rsid w:val="009C1EF8"/>
    <w:rsid w:val="00D5709E"/>
    <w:rsid w:val="00FA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5DD270ECA0031985B7BC628BD05FBD551B7B7E510F777FF66FCC3CA64FBAF3EFB57CCAC68EC1035236F550u7dCN" TargetMode="External"/><Relationship Id="rId18" Type="http://schemas.openxmlformats.org/officeDocument/2006/relationships/hyperlink" Target="consultantplus://offline/ref=485DD270ECA0031985B7BC628BD05FBD5D18797055032A75FE36C03EA140E5F6FAA424C7C096DF024D2AF7527Fu6d3N" TargetMode="External"/><Relationship Id="rId26" Type="http://schemas.openxmlformats.org/officeDocument/2006/relationships/hyperlink" Target="consultantplus://offline/ref=485DD270ECA0031985B7BC628BD05FBD5D10787159002A75FE36C03EA140E5F6FAA424C7C096DF024D2AF7527Fu6d3N" TargetMode="External"/><Relationship Id="rId39" Type="http://schemas.openxmlformats.org/officeDocument/2006/relationships/hyperlink" Target="consultantplus://offline/ref=485DD270ECA0031985B7BC628BD05FBD5F1A797F52072A75FE36C03EA140E5F6FAA424C7C096DF024D2AF7527Fu6d3N" TargetMode="External"/><Relationship Id="rId21" Type="http://schemas.openxmlformats.org/officeDocument/2006/relationships/hyperlink" Target="consultantplus://offline/ref=485DD270ECA0031985B7BC628BD05FBD5E19797A55062A75FE36C03EA140E5F6FAA424C7C096DF024D2AF7527Fu6d3N" TargetMode="External"/><Relationship Id="rId34" Type="http://schemas.openxmlformats.org/officeDocument/2006/relationships/hyperlink" Target="consultantplus://offline/ref=485DD270ECA0031985B7BC628BD05FBD5D10797E520C2A75FE36C03EA140E5F6FAA424C7C096DF024D2AF7527Fu6d3N" TargetMode="External"/><Relationship Id="rId42" Type="http://schemas.openxmlformats.org/officeDocument/2006/relationships/hyperlink" Target="consultantplus://offline/ref=485DD270ECA0031985B7BC628BD05FBD5F1D7B7854032A75FE36C03EA140E5F6E8A47CCBC090C3034E3FA10339376A23C5526A945DA02C4Au7d0N" TargetMode="External"/><Relationship Id="rId47" Type="http://schemas.openxmlformats.org/officeDocument/2006/relationships/hyperlink" Target="consultantplus://offline/ref=485DD270ECA0031985B7BC628BD05FBD5F1E7E7D53032A75FE36C03EA140E5F6FAA424C7C096DF024D2AF7527Fu6d3N" TargetMode="External"/><Relationship Id="rId50" Type="http://schemas.openxmlformats.org/officeDocument/2006/relationships/hyperlink" Target="consultantplus://offline/ref=485DD270ECA0031985B7BC628BD05FBD5F1F7C7950052A75FE36C03EA140E5F6E8A47CCBC090C6014B3FA10339376A23C5526A945DA02C4Au7d0N" TargetMode="External"/><Relationship Id="rId55" Type="http://schemas.openxmlformats.org/officeDocument/2006/relationships/hyperlink" Target="consultantplus://offline/ref=485DD270ECA0031985B7BC628BD05FBD5F1D7B7854032A75FE36C03EA140E5F6E8A47CCBC090C00A453FA10339376A23C5526A945DA02C4Au7d0N" TargetMode="External"/><Relationship Id="rId7" Type="http://schemas.openxmlformats.org/officeDocument/2006/relationships/hyperlink" Target="consultantplus://offline/ref=485DD270ECA0031985B7BC628BD05FBD5D197E7D520C2A75FE36C03EA140E5F6FAA424C7C096DF024D2AF7527Fu6d3N" TargetMode="External"/><Relationship Id="rId12" Type="http://schemas.openxmlformats.org/officeDocument/2006/relationships/hyperlink" Target="consultantplus://offline/ref=485DD270ECA0031985B7BC628BD05FBD5F1A7B71590D2A75FE36C03EA140E5F6FAA424C7C096DF024D2AF7527Fu6d3N" TargetMode="External"/><Relationship Id="rId17" Type="http://schemas.openxmlformats.org/officeDocument/2006/relationships/hyperlink" Target="consultantplus://offline/ref=485DD270ECA0031985B7BC628BD05FBD5D187F7C50012A75FE36C03EA140E5F6FAA424C7C096DF024D2AF7527Fu6d3N" TargetMode="External"/><Relationship Id="rId25" Type="http://schemas.openxmlformats.org/officeDocument/2006/relationships/hyperlink" Target="consultantplus://offline/ref=485DD270ECA0031985B7BC628BD05FBD5D10797E54032A75FE36C03EA140E5F6FAA424C7C096DF024D2AF7527Fu6d3N" TargetMode="External"/><Relationship Id="rId33" Type="http://schemas.openxmlformats.org/officeDocument/2006/relationships/hyperlink" Target="consultantplus://offline/ref=485DD270ECA0031985B7BC628BD05FBD5D10787F53042A75FE36C03EA140E5F6FAA424C7C096DF024D2AF7527Fu6d3N" TargetMode="External"/><Relationship Id="rId38" Type="http://schemas.openxmlformats.org/officeDocument/2006/relationships/hyperlink" Target="consultantplus://offline/ref=485DD270ECA0031985B7BC628BD05FBD5F1A7E7952032A75FE36C03EA140E5F6FAA424C7C096DF024D2AF7527Fu6d3N" TargetMode="External"/><Relationship Id="rId46" Type="http://schemas.openxmlformats.org/officeDocument/2006/relationships/hyperlink" Target="consultantplus://offline/ref=485DD270ECA0031985B7BC628BD05FBD5F1E7E7D53032A75FE36C03EA140E5F6E8A47CCDC796C8091865B1077062613DC34D749743A0u2d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5DD270ECA0031985B7BC628BD05FBD5D187D7B53002A75FE36C03EA140E5F6FAA424C7C096DF024D2AF7527Fu6d3N" TargetMode="External"/><Relationship Id="rId20" Type="http://schemas.openxmlformats.org/officeDocument/2006/relationships/hyperlink" Target="consultantplus://offline/ref=485DD270ECA0031985B7BC628BD05FBD5D197E7A59032A75FE36C03EA140E5F6FAA424C7C096DF024D2AF7527Fu6d3N" TargetMode="External"/><Relationship Id="rId29" Type="http://schemas.openxmlformats.org/officeDocument/2006/relationships/hyperlink" Target="consultantplus://offline/ref=485DD270ECA0031985B7BC628BD05FBD5D1E747E52072A75FE36C03EA140E5F6FAA424C7C096DF024D2AF7527Fu6d3N" TargetMode="External"/><Relationship Id="rId41" Type="http://schemas.openxmlformats.org/officeDocument/2006/relationships/hyperlink" Target="consultantplus://offline/ref=485DD270ECA0031985B7BC628BD05FBD5F1F7D78550D2A75FE36C03EA140E5F6FAA424C7C096DF024D2AF7527Fu6d3N" TargetMode="External"/><Relationship Id="rId54" Type="http://schemas.openxmlformats.org/officeDocument/2006/relationships/hyperlink" Target="consultantplus://offline/ref=485DD270ECA0031985B7BC628BD05FBD5F1E757D53022A75FE36C03EA140E5F6E8A47CC9C59B95530861F8527B7C6722DD4E6A97u4d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DD270ECA0031985B7BC628BD05FBD5D1F7E7A590D2A75FE36C03EA140E5F6FAA424C7C096DF024D2AF7527Fu6d3N" TargetMode="External"/><Relationship Id="rId11" Type="http://schemas.openxmlformats.org/officeDocument/2006/relationships/hyperlink" Target="consultantplus://offline/ref=485DD270ECA0031985B7BC628BD05FBD5A10747F520F777FF66FCC3CA64FBAF3EFB57CCAC68EC1035236F550u7dCN" TargetMode="External"/><Relationship Id="rId24" Type="http://schemas.openxmlformats.org/officeDocument/2006/relationships/hyperlink" Target="consultantplus://offline/ref=485DD270ECA0031985B7BC628BD05FBD5E19797A55052A75FE36C03EA140E5F6FAA424C7C096DF024D2AF7527Fu6d3N" TargetMode="External"/><Relationship Id="rId32" Type="http://schemas.openxmlformats.org/officeDocument/2006/relationships/hyperlink" Target="consultantplus://offline/ref=485DD270ECA0031985B7BC628BD05FBD5D107F70560C2A75FE36C03EA140E5F6FAA424C7C096DF024D2AF7527Fu6d3N" TargetMode="External"/><Relationship Id="rId37" Type="http://schemas.openxmlformats.org/officeDocument/2006/relationships/hyperlink" Target="consultantplus://offline/ref=485DD270ECA0031985B7BC628BD05FBD5E19797A52072A75FE36C03EA140E5F6FAA424C7C096DF024D2AF7527Fu6d3N" TargetMode="External"/><Relationship Id="rId40" Type="http://schemas.openxmlformats.org/officeDocument/2006/relationships/hyperlink" Target="consultantplus://offline/ref=485DD270ECA0031985B7BC628BD05FBD5F1D7B7854032A75FE36C03EA140E5F6E8A47CCBC090C506453FA10339376A23C5526A945DA02C4Au7d0N" TargetMode="External"/><Relationship Id="rId45" Type="http://schemas.openxmlformats.org/officeDocument/2006/relationships/hyperlink" Target="consultantplus://offline/ref=485DD270ECA0031985B7BC628BD05FBD5D1B7D7A510C2A75FE36C03EA140E5F6E8A47CCBC090C1034E3FA10339376A23C5526A945DA02C4Au7d0N" TargetMode="External"/><Relationship Id="rId53" Type="http://schemas.openxmlformats.org/officeDocument/2006/relationships/hyperlink" Target="consultantplus://offline/ref=485DD270ECA0031985B7BC628BD05FBD5D19797D57022A75FE36C03EA140E5F6E8A47CCBC090C102443FA10339376A23C5526A945DA02C4Au7d0N" TargetMode="External"/><Relationship Id="rId58" Type="http://schemas.microsoft.com/office/2007/relationships/stylesWithEffects" Target="stylesWithEffects.xml"/><Relationship Id="rId5" Type="http://schemas.openxmlformats.org/officeDocument/2006/relationships/hyperlink" Target="consultantplus://offline/ref=485DD270ECA0031985B7BC628BD05FBD591D7B79570F777FF66FCC3CA64FBAE1EFED70CAC091C2054760A416286F6725DD4C6B8B41A22Eu4d9N" TargetMode="External"/><Relationship Id="rId15" Type="http://schemas.openxmlformats.org/officeDocument/2006/relationships/hyperlink" Target="consultantplus://offline/ref=485DD270ECA0031985B7BC628BD05FBD5E19797A55072A75FE36C03EA140E5F6FAA424C7C096DF024D2AF7527Fu6d3N" TargetMode="External"/><Relationship Id="rId23" Type="http://schemas.openxmlformats.org/officeDocument/2006/relationships/hyperlink" Target="consultantplus://offline/ref=485DD270ECA0031985B7BC628BD05FBD5D197E7956042A75FE36C03EA140E5F6FAA424C7C096DF024D2AF7527Fu6d3N" TargetMode="External"/><Relationship Id="rId28" Type="http://schemas.openxmlformats.org/officeDocument/2006/relationships/hyperlink" Target="consultantplus://offline/ref=485DD270ECA0031985B7BC628BD05FBD5E19797A55042A75FE36C03EA140E5F6FAA424C7C096DF024D2AF7527Fu6d3N" TargetMode="External"/><Relationship Id="rId36" Type="http://schemas.openxmlformats.org/officeDocument/2006/relationships/hyperlink" Target="consultantplus://offline/ref=485DD270ECA0031985B7BC628BD05FBD5D10787153012A75FE36C03EA140E5F6FAA424C7C096DF024D2AF7527Fu6d3N" TargetMode="External"/><Relationship Id="rId49" Type="http://schemas.openxmlformats.org/officeDocument/2006/relationships/hyperlink" Target="consultantplus://offline/ref=485DD270ECA0031985B7BC628BD05FBD5F1D7B7854032A75FE36C03EA140E5F6E8A47CCBC090C00A453FA10339376A23C5526A945DA02C4Au7d0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85DD270ECA0031985B7BC628BD05FBD5A10747F500F777FF66FCC3CA64FBAF3EFB57CCAC68EC1035236F550u7dCN" TargetMode="External"/><Relationship Id="rId19" Type="http://schemas.openxmlformats.org/officeDocument/2006/relationships/hyperlink" Target="consultantplus://offline/ref=485DD270ECA0031985B7BC628BD05FBD5F1A797E56072A75FE36C03EA140E5F6FAA424C7C096DF024D2AF7527Fu6d3N" TargetMode="External"/><Relationship Id="rId31" Type="http://schemas.openxmlformats.org/officeDocument/2006/relationships/hyperlink" Target="consultantplus://offline/ref=485DD270ECA0031985B7BC628BD05FBD5D1F7B7B54002A75FE36C03EA140E5F6FAA424C7C096DF024D2AF7527Fu6d3N" TargetMode="External"/><Relationship Id="rId44" Type="http://schemas.openxmlformats.org/officeDocument/2006/relationships/hyperlink" Target="consultantplus://offline/ref=485DD270ECA0031985B7BC628BD05FBD5D1B7D7A510C2A75FE36C03EA140E5F6E8A47CCBC090C1034E3FA10339376A23C5526A945DA02C4Au7d0N" TargetMode="External"/><Relationship Id="rId52" Type="http://schemas.openxmlformats.org/officeDocument/2006/relationships/hyperlink" Target="consultantplus://offline/ref=485DD270ECA0031985B7BC628BD05FBD5F1F7C7B58042A75FE36C03EA140E5F6E8A47CCBC090C00B4A3FA10339376A23C5526A945DA02C4Au7d0N" TargetMode="External"/><Relationship Id="rId4" Type="http://schemas.openxmlformats.org/officeDocument/2006/relationships/hyperlink" Target="consultantplus://offline/ref=485DD270ECA0031985B7BC628BD05FBD5F1D7B7854032A75FE36C03EA140E5F6E8A47CC8C398CA561D70A05F7D647923C252689541uAd3N" TargetMode="External"/><Relationship Id="rId9" Type="http://schemas.openxmlformats.org/officeDocument/2006/relationships/hyperlink" Target="consultantplus://offline/ref=485DD270ECA0031985B7BC628BD05FBD5E187F7A50052A75FE36C03EA140E5F6FAA424C7C096DF024D2AF7527Fu6d3N" TargetMode="External"/><Relationship Id="rId14" Type="http://schemas.openxmlformats.org/officeDocument/2006/relationships/hyperlink" Target="consultantplus://offline/ref=485DD270ECA0031985B7BC628BD05FBD551B797D560F777FF66FCC3CA64FBAF3EFB57CCAC68EC1035236F550u7dCN" TargetMode="External"/><Relationship Id="rId22" Type="http://schemas.openxmlformats.org/officeDocument/2006/relationships/hyperlink" Target="consultantplus://offline/ref=485DD270ECA0031985B7BC628BD05FBD5D1A7F7F510D2A75FE36C03EA140E5F6FAA424C7C096DF024D2AF7527Fu6d3N" TargetMode="External"/><Relationship Id="rId27" Type="http://schemas.openxmlformats.org/officeDocument/2006/relationships/hyperlink" Target="consultantplus://offline/ref=485DD270ECA0031985B7BC628BD05FBD5D1E7C7053062A75FE36C03EA140E5F6FAA424C7C096DF024D2AF7527Fu6d3N" TargetMode="External"/><Relationship Id="rId30" Type="http://schemas.openxmlformats.org/officeDocument/2006/relationships/hyperlink" Target="consultantplus://offline/ref=485DD270ECA0031985B7BC628BD05FBD5D1F7E7A57062A75FE36C03EA140E5F6FAA424C7C096DF024D2AF7527Fu6d3N" TargetMode="External"/><Relationship Id="rId35" Type="http://schemas.openxmlformats.org/officeDocument/2006/relationships/hyperlink" Target="consultantplus://offline/ref=485DD270ECA0031985B7BC628BD05FBD5D117C70510D2A75FE36C03EA140E5F6FAA424C7C096DF024D2AF7527Fu6d3N" TargetMode="External"/><Relationship Id="rId43" Type="http://schemas.openxmlformats.org/officeDocument/2006/relationships/hyperlink" Target="consultantplus://offline/ref=485DD270ECA0031985B7BC628BD05FBD5F1F7C7B58042A75FE36C03EA140E5F6E8A47CCBC092CA561D70A05F7D647923C252689541uAd3N" TargetMode="External"/><Relationship Id="rId48" Type="http://schemas.openxmlformats.org/officeDocument/2006/relationships/hyperlink" Target="consultantplus://offline/ref=485DD270ECA0031985B7BC628BD05FBD5F1F7C7B58042A75FE36C03EA140E5F6E8A47CCBC092CA561D70A05F7D647923C252689541uAd3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85DD270ECA0031985B7BC628BD05FBD5D187F7C55032A75FE36C03EA140E5F6FAA424C7C096DF024D2AF7527Fu6d3N" TargetMode="External"/><Relationship Id="rId51" Type="http://schemas.openxmlformats.org/officeDocument/2006/relationships/hyperlink" Target="consultantplus://offline/ref=485DD270ECA0031985B7BC628BD05FBD5F1D7B7854032A75FE36C03EA140E5F6E8A47CC8C297CA561D70A05F7D647923C252689541uAd3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22577</Words>
  <Characters>128691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Отвагин С.А.</dc:creator>
  <cp:lastModifiedBy>user</cp:lastModifiedBy>
  <cp:revision>2</cp:revision>
  <dcterms:created xsi:type="dcterms:W3CDTF">2021-01-27T12:42:00Z</dcterms:created>
  <dcterms:modified xsi:type="dcterms:W3CDTF">2021-01-27T12:42:00Z</dcterms:modified>
</cp:coreProperties>
</file>